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ED" w:rsidRPr="00B379FB" w:rsidRDefault="00B379FB" w:rsidP="005343E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79FB">
        <w:rPr>
          <w:rFonts w:ascii="Arial" w:hAnsi="Arial" w:cs="Arial"/>
          <w:b/>
          <w:bCs/>
          <w:color w:val="000000"/>
          <w:sz w:val="20"/>
          <w:szCs w:val="20"/>
        </w:rPr>
        <w:t>ANEXO</w:t>
      </w:r>
      <w:r w:rsidR="00D1290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04749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5C2955">
        <w:rPr>
          <w:rFonts w:ascii="Arial" w:hAnsi="Arial" w:cs="Arial"/>
          <w:b/>
          <w:bCs/>
          <w:color w:val="000000"/>
          <w:sz w:val="20"/>
          <w:szCs w:val="20"/>
        </w:rPr>
        <w:t>V</w:t>
      </w:r>
      <w:bookmarkStart w:id="0" w:name="_GoBack"/>
      <w:bookmarkEnd w:id="0"/>
    </w:p>
    <w:p w:rsidR="005343ED" w:rsidRPr="00B379FB" w:rsidRDefault="005343ED" w:rsidP="005343E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79FB">
        <w:rPr>
          <w:rFonts w:ascii="Arial" w:hAnsi="Arial" w:cs="Arial"/>
          <w:b/>
          <w:bCs/>
          <w:color w:val="000000"/>
          <w:sz w:val="20"/>
          <w:szCs w:val="20"/>
        </w:rPr>
        <w:t>No causar perjuicio significativo a los seis objetivos medioambientales.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90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79FB">
        <w:rPr>
          <w:rFonts w:ascii="Arial" w:hAnsi="Arial" w:cs="Arial"/>
          <w:b/>
          <w:bCs/>
          <w:color w:val="000000"/>
          <w:sz w:val="20"/>
          <w:szCs w:val="20"/>
        </w:rPr>
        <w:t>MODELO DE DECLARACIÓN RESPONSABLE SOBRE EL CUMPLIMIENTO DEL PRINCIPIO DE NO PERJUICIO SIGNIFICATIVO A LOS SEIS OBJETIVOS MEDIOAMBIENTALES (DNSH) EN EL SENTIDO DEL ARTÍCULO 17 DEL REGLAMENTO (UE) 2020/852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79FB">
        <w:rPr>
          <w:rFonts w:ascii="Arial" w:hAnsi="Arial" w:cs="Arial"/>
          <w:b/>
          <w:bCs/>
          <w:color w:val="000000"/>
          <w:sz w:val="20"/>
          <w:szCs w:val="20"/>
        </w:rPr>
        <w:t>EL DECLARANTE</w:t>
      </w:r>
    </w:p>
    <w:tbl>
      <w:tblPr>
        <w:tblW w:w="8755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6680"/>
      </w:tblGrid>
      <w:tr w:rsidR="005343ED" w:rsidRPr="00B379FB" w:rsidTr="00ED275B">
        <w:trPr>
          <w:trHeight w:val="120"/>
        </w:trPr>
        <w:tc>
          <w:tcPr>
            <w:tcW w:w="2075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ED27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9FB">
              <w:rPr>
                <w:rFonts w:ascii="Arial" w:hAnsi="Arial" w:cs="Arial"/>
                <w:color w:val="000000"/>
                <w:sz w:val="20"/>
                <w:szCs w:val="20"/>
              </w:rPr>
              <w:t xml:space="preserve">Don/Doña </w:t>
            </w:r>
          </w:p>
        </w:tc>
        <w:tc>
          <w:tcPr>
            <w:tcW w:w="6680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ED27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3ED" w:rsidRPr="00B379FB" w:rsidTr="00ED275B">
        <w:trPr>
          <w:trHeight w:val="129"/>
        </w:trPr>
        <w:tc>
          <w:tcPr>
            <w:tcW w:w="2075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B379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9FB">
              <w:rPr>
                <w:rFonts w:ascii="Arial" w:hAnsi="Arial" w:cs="Arial"/>
                <w:color w:val="000000"/>
                <w:sz w:val="20"/>
                <w:szCs w:val="20"/>
              </w:rPr>
              <w:t>en calidad de</w:t>
            </w:r>
            <w:r w:rsidR="00B379F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B379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80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ED27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3ED" w:rsidRPr="00B379FB" w:rsidTr="00ED275B">
        <w:trPr>
          <w:trHeight w:val="120"/>
        </w:trPr>
        <w:tc>
          <w:tcPr>
            <w:tcW w:w="2075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ED27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9FB">
              <w:rPr>
                <w:rFonts w:ascii="Arial" w:hAnsi="Arial" w:cs="Arial"/>
                <w:color w:val="000000"/>
                <w:sz w:val="20"/>
                <w:szCs w:val="20"/>
              </w:rPr>
              <w:t xml:space="preserve">con NIF </w:t>
            </w:r>
          </w:p>
        </w:tc>
        <w:tc>
          <w:tcPr>
            <w:tcW w:w="6680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ED27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3ED" w:rsidRPr="00B379FB" w:rsidTr="00ED275B">
        <w:trPr>
          <w:trHeight w:val="120"/>
        </w:trPr>
        <w:tc>
          <w:tcPr>
            <w:tcW w:w="2075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ED27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9FB">
              <w:rPr>
                <w:rFonts w:ascii="Arial" w:hAnsi="Arial" w:cs="Arial"/>
                <w:color w:val="000000"/>
                <w:sz w:val="20"/>
                <w:szCs w:val="20"/>
              </w:rPr>
              <w:t xml:space="preserve">en representación de </w:t>
            </w:r>
          </w:p>
        </w:tc>
        <w:tc>
          <w:tcPr>
            <w:tcW w:w="6680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ED27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3ED" w:rsidRPr="00B379FB" w:rsidTr="00ED275B">
        <w:trPr>
          <w:trHeight w:val="120"/>
        </w:trPr>
        <w:tc>
          <w:tcPr>
            <w:tcW w:w="2075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ED27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9FB">
              <w:rPr>
                <w:rFonts w:ascii="Arial" w:hAnsi="Arial" w:cs="Arial"/>
                <w:color w:val="000000"/>
                <w:sz w:val="20"/>
                <w:szCs w:val="20"/>
              </w:rPr>
              <w:t xml:space="preserve">con NIF </w:t>
            </w:r>
          </w:p>
        </w:tc>
        <w:tc>
          <w:tcPr>
            <w:tcW w:w="6680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ED27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43ED" w:rsidRPr="00B379FB" w:rsidRDefault="005343ED" w:rsidP="005343ED">
      <w:pPr>
        <w:pStyle w:val="Textoindependiente"/>
        <w:shd w:val="clear" w:color="auto" w:fill="FFFFFF" w:themeFill="background1"/>
        <w:tabs>
          <w:tab w:val="left" w:pos="284"/>
        </w:tabs>
        <w:kinsoku w:val="0"/>
        <w:overflowPunct w:val="0"/>
        <w:spacing w:before="120" w:after="12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379FB">
        <w:rPr>
          <w:rFonts w:ascii="Arial" w:hAnsi="Arial" w:cs="Arial"/>
          <w:b/>
          <w:bCs/>
          <w:sz w:val="20"/>
          <w:szCs w:val="20"/>
        </w:rPr>
        <w:t>DECLARA BAJO SU RESPONSABILIDAD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Que la entidad solicitante a la cual representa, teniendo en cuenta todas las fases del ciclo de vida del proyecto o actividad a desarrollar, tanto durante su implantación como al final de su vida útil, cumplirá con el principio DNSH de «no causar un perjuicio significativo» exigido por el REGLAMENTO (UE) 2021/241, por el que se establece el Mecanismo de Recuperación y Resiliencia, de forma que: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B379FB">
        <w:rPr>
          <w:rFonts w:ascii="Arial" w:hAnsi="Arial" w:cs="Arial"/>
          <w:b/>
          <w:bCs/>
          <w:color w:val="000000"/>
          <w:sz w:val="20"/>
          <w:szCs w:val="20"/>
        </w:rPr>
        <w:t xml:space="preserve">NO CAUSA UN PERJUICIO SIGNIFICATIVO A LOS SEIS OBJETIVOS MEDIOAMBIENTALES 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del artículo 17 del Reglamento (UE) 2020/8522, que se enumeran a continuación: </w:t>
      </w:r>
    </w:p>
    <w:p w:rsidR="005343ED" w:rsidRPr="00B379FB" w:rsidRDefault="005343ED" w:rsidP="005343ED">
      <w:pPr>
        <w:autoSpaceDE w:val="0"/>
        <w:autoSpaceDN w:val="0"/>
        <w:adjustRightInd w:val="0"/>
        <w:spacing w:after="30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Mitigación del cambio climático 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- se considera que una actividad causa un perjuicio significativo a la mitigación del cambio climático si da lugar a considerables emisiones de gases de efecto invernadero (GEI).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b)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Adaptación al cambio climático 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- 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c)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Uso sostenible y protección de los recursos hídricos y marinos 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d)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Economía circular, incluidos la prevención y el reciclado de residuos 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- se considera que una actividad causa un perjuicio significativo a la economía circular, incluidos la prevención y el reciclado de residuos, si genera importantes ineficiencias en el uso de materiales o en el uso directo o indirecto de recursos naturales; si da lugar a un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aumento significativo de la generación de residuos, el tratamiento mecánico-biológico, incineración o depósito en vertedero de residuos; o si la eliminación de residuos a largo plazo puede causar un perjuicio significativo y a largo plazo para el medio ambiente.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e)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Prevención y control de la contaminación a la atmósfera, el agua o el suelo 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- se considera que una actividad causa un perjuicio significativo a la prevención y el control de la contaminación cuando da lugar a un aumento significativo de las emisiones de contaminantes a la atmósfera, el agua o el suelo. </w:t>
      </w:r>
    </w:p>
    <w:p w:rsidR="00BD407B" w:rsidRPr="00B379FB" w:rsidRDefault="00BD407B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lastRenderedPageBreak/>
        <w:t xml:space="preserve">f)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Protección y restauración de la biodiversidad y los ecosistemas 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</w:t>
      </w:r>
      <w:r w:rsidR="00BD407B">
        <w:rPr>
          <w:rFonts w:ascii="Arial" w:hAnsi="Arial" w:cs="Arial"/>
          <w:color w:val="000000"/>
          <w:sz w:val="20"/>
          <w:szCs w:val="20"/>
        </w:rPr>
        <w:t>e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n particular de aquellos de interés para la Unión.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B3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b/>
          <w:color w:val="000000"/>
          <w:sz w:val="20"/>
          <w:szCs w:val="20"/>
        </w:rPr>
        <w:t>2.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79FB">
        <w:rPr>
          <w:rFonts w:ascii="Arial" w:hAnsi="Arial" w:cs="Arial"/>
          <w:b/>
          <w:bCs/>
          <w:color w:val="000000"/>
          <w:sz w:val="20"/>
          <w:szCs w:val="20"/>
        </w:rPr>
        <w:t xml:space="preserve">LA ENTIDAD SOLICITANTE NO DESARROLLA ACTIVIDADES EXCLUIDAS 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según lo indicado por la Guía técnica sobre la aplicación del principio de «no causar un perjuicio significativo» en virtud del Reglamento relativo al Mecanismo de Recuperación y Resiliencia.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Las actividades excluidas son: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autoSpaceDE w:val="0"/>
        <w:autoSpaceDN w:val="0"/>
        <w:adjustRightInd w:val="0"/>
        <w:spacing w:after="97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• Refinerías de petróleo </w:t>
      </w:r>
    </w:p>
    <w:p w:rsidR="005343ED" w:rsidRPr="00B379FB" w:rsidRDefault="005343ED" w:rsidP="005343ED">
      <w:pPr>
        <w:autoSpaceDE w:val="0"/>
        <w:autoSpaceDN w:val="0"/>
        <w:adjustRightInd w:val="0"/>
        <w:spacing w:after="97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• Centrales térmicas de carbón y extracción de combustibles fósiles </w:t>
      </w:r>
    </w:p>
    <w:p w:rsidR="005343ED" w:rsidRPr="00B379FB" w:rsidRDefault="005343ED" w:rsidP="005343ED">
      <w:pPr>
        <w:autoSpaceDE w:val="0"/>
        <w:autoSpaceDN w:val="0"/>
        <w:adjustRightInd w:val="0"/>
        <w:spacing w:after="97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>Generación de electricidad y/o calor utilizando combustibles fósiles y relacionados con su infraestructura de transporte y distribución.</w:t>
      </w:r>
    </w:p>
    <w:p w:rsidR="005343ED" w:rsidRPr="00B379FB" w:rsidRDefault="005343ED" w:rsidP="005343ED">
      <w:pPr>
        <w:autoSpaceDE w:val="0"/>
        <w:autoSpaceDN w:val="0"/>
        <w:adjustRightInd w:val="0"/>
        <w:spacing w:after="97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Eliminación de desechos (por ejemplo, nucleares, que puedan causar daños a largo plazo al medioambiente).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Inversiones en instalaciones para la deposición de residuos en vertedero o inversiones en plantas de tratamiento biológico mecánico (MBT) que impliquen un aumento de su capacidad o de su vida útil (salvo plantas de tratamiento de residuos peligrosos no reciclables). </w:t>
      </w:r>
    </w:p>
    <w:p w:rsidR="005343ED" w:rsidRPr="00B379FB" w:rsidRDefault="005343ED" w:rsidP="005343ED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Actividades cubiertas por el régimen de comercio de derechos de emisión de la UE (según el Anexo I de la Ley 1/2005 de 9 de marzo, por la que se regula el régimen del comercio de derechos de emisión de gases de efecto invernadero.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b/>
          <w:bCs/>
          <w:color w:val="000000"/>
          <w:sz w:val="20"/>
          <w:szCs w:val="20"/>
        </w:rPr>
        <w:t>3. LA ENTIDAD SOLICITANTE NO PREVÉ EFECTOS DIRECTOS DEL PROYECTO O ACTIVIDAD SOBRE EL MEDIOAMBIENTE, NI EFECTOS INDIRECTOS PRIMARIOS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, entendiendo como tales aquéllos que pudieran materializarse tras su finalización, una vez realizado el proyecto o actividad.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El incumplimiento de alguno de los requisitos establecido en la presente declaración dará, previo el oportuno procedimiento de reintegro, a la obligación de devolver las ayudas percibidas y los intereses de demora correspondientes. </w:t>
      </w:r>
    </w:p>
    <w:p w:rsidR="005343ED" w:rsidRDefault="00027E75" w:rsidP="005343ED">
      <w:pPr>
        <w:pStyle w:val="Textoindependiente"/>
        <w:shd w:val="clear" w:color="auto" w:fill="FFFFFF" w:themeFill="background1"/>
        <w:tabs>
          <w:tab w:val="left" w:pos="284"/>
        </w:tabs>
        <w:kinsoku w:val="0"/>
        <w:overflowPunct w:val="0"/>
        <w:spacing w:before="120" w:after="120" w:line="360" w:lineRule="auto"/>
        <w:ind w:left="0" w:firstLine="0"/>
        <w:jc w:val="center"/>
        <w:rPr>
          <w:rFonts w:ascii="Arial" w:eastAsiaTheme="minorHAnsi" w:hAnsi="Arial" w:cs="Arial"/>
          <w:bCs/>
          <w:color w:val="000000"/>
          <w:lang w:eastAsia="en-US"/>
        </w:rPr>
      </w:pPr>
      <w:r w:rsidRPr="00027E75">
        <w:rPr>
          <w:rFonts w:ascii="Arial" w:eastAsiaTheme="minorHAnsi" w:hAnsi="Arial" w:cs="Arial"/>
          <w:bCs/>
          <w:color w:val="000000"/>
          <w:lang w:eastAsia="en-US"/>
        </w:rPr>
        <w:t>(Firmado electrónicamente)</w:t>
      </w:r>
    </w:p>
    <w:p w:rsidR="00027E75" w:rsidRPr="00027E75" w:rsidRDefault="00027E75" w:rsidP="00027E75">
      <w:pPr>
        <w:pStyle w:val="Textoindependiente"/>
        <w:shd w:val="clear" w:color="auto" w:fill="FFFFFF" w:themeFill="background1"/>
        <w:tabs>
          <w:tab w:val="left" w:pos="284"/>
        </w:tabs>
        <w:kinsoku w:val="0"/>
        <w:overflowPunct w:val="0"/>
        <w:spacing w:before="120" w:after="120" w:line="360" w:lineRule="auto"/>
        <w:ind w:left="0" w:firstLine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____________________________________________________________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1 Representante legal, cargo que ostente dentro de la entidad solicitante. </w:t>
      </w:r>
    </w:p>
    <w:p w:rsidR="005343ED" w:rsidRPr="00B379FB" w:rsidRDefault="005343ED" w:rsidP="00BD407B">
      <w:pPr>
        <w:pStyle w:val="Textoindependiente"/>
        <w:shd w:val="clear" w:color="auto" w:fill="FFFFFF" w:themeFill="background1"/>
        <w:tabs>
          <w:tab w:val="left" w:pos="284"/>
        </w:tabs>
        <w:kinsoku w:val="0"/>
        <w:overflowPunct w:val="0"/>
        <w:spacing w:before="120" w:after="120"/>
        <w:ind w:left="0" w:firstLine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638F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 Reglamento (UE) 2020/852 del Parlamento Europeo y del Consejo de 18 de junio de 2020 relativo al establecimiento de un marco para facilitar las inversiones sostenibles y por el que se modifica el Reglamento (UE) 2019/2088.</w:t>
      </w:r>
      <w:r w:rsidRPr="00B379F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</w:t>
      </w:r>
    </w:p>
    <w:p w:rsidR="000A180F" w:rsidRPr="00B379FB" w:rsidRDefault="000A180F" w:rsidP="005343E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sectPr w:rsidR="000A180F" w:rsidRPr="00B379FB" w:rsidSect="00153264">
      <w:headerReference w:type="default" r:id="rId8"/>
      <w:pgSz w:w="11906" w:h="16838"/>
      <w:pgMar w:top="1185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7E" w:rsidRDefault="0024397E" w:rsidP="0024397E">
      <w:pPr>
        <w:spacing w:after="0"/>
      </w:pPr>
      <w:r>
        <w:separator/>
      </w:r>
    </w:p>
  </w:endnote>
  <w:endnote w:type="continuationSeparator" w:id="0">
    <w:p w:rsidR="0024397E" w:rsidRDefault="0024397E" w:rsidP="00243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7E" w:rsidRDefault="0024397E" w:rsidP="0024397E">
      <w:pPr>
        <w:spacing w:after="0"/>
      </w:pPr>
      <w:r>
        <w:separator/>
      </w:r>
    </w:p>
  </w:footnote>
  <w:footnote w:type="continuationSeparator" w:id="0">
    <w:p w:rsidR="0024397E" w:rsidRDefault="0024397E" w:rsidP="002439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BE" w:rsidRDefault="00153264" w:rsidP="005924F9">
    <w:pPr>
      <w:tabs>
        <w:tab w:val="right" w:pos="9540"/>
      </w:tabs>
      <w:rPr>
        <w:sz w:val="8"/>
        <w:szCs w:val="8"/>
      </w:rPr>
    </w:pPr>
    <w:r>
      <w:rPr>
        <w:noProof/>
        <w:sz w:val="8"/>
        <w:szCs w:val="8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-1120673</wp:posOffset>
          </wp:positionH>
          <wp:positionV relativeFrom="paragraph">
            <wp:posOffset>-425260</wp:posOffset>
          </wp:positionV>
          <wp:extent cx="7559675" cy="1085215"/>
          <wp:effectExtent l="0" t="0" r="3175" b="635"/>
          <wp:wrapTight wrapText="bothSides">
            <wp:wrapPolygon edited="0">
              <wp:start x="0" y="0"/>
              <wp:lineTo x="0" y="21233"/>
              <wp:lineTo x="21555" y="21233"/>
              <wp:lineTo x="21555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717BE" w:rsidRPr="00AE076D" w:rsidRDefault="00F717BE" w:rsidP="005924F9">
    <w:pPr>
      <w:tabs>
        <w:tab w:val="right" w:pos="9540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B11EB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51446"/>
    <w:multiLevelType w:val="hybridMultilevel"/>
    <w:tmpl w:val="1BFE5A54"/>
    <w:lvl w:ilvl="0" w:tplc="658C184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84D"/>
    <w:multiLevelType w:val="hybridMultilevel"/>
    <w:tmpl w:val="4364CB98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9BE"/>
    <w:multiLevelType w:val="hybridMultilevel"/>
    <w:tmpl w:val="4680F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FA6EF68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0394"/>
    <w:multiLevelType w:val="hybridMultilevel"/>
    <w:tmpl w:val="FBD24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55343"/>
    <w:multiLevelType w:val="hybridMultilevel"/>
    <w:tmpl w:val="CEE47CAA"/>
    <w:lvl w:ilvl="0" w:tplc="E4AE839C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723F8A"/>
    <w:multiLevelType w:val="hybridMultilevel"/>
    <w:tmpl w:val="EB302AAA"/>
    <w:lvl w:ilvl="0" w:tplc="00C84F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D2D93"/>
    <w:multiLevelType w:val="hybridMultilevel"/>
    <w:tmpl w:val="614290DE"/>
    <w:lvl w:ilvl="0" w:tplc="219CA4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0058"/>
    <w:multiLevelType w:val="hybridMultilevel"/>
    <w:tmpl w:val="2B34B434"/>
    <w:lvl w:ilvl="0" w:tplc="A3069B94">
      <w:start w:val="1"/>
      <w:numFmt w:val="decimal"/>
      <w:pStyle w:val="Ttulo3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18EA0A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0131B"/>
    <w:multiLevelType w:val="hybridMultilevel"/>
    <w:tmpl w:val="57F6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04180"/>
    <w:multiLevelType w:val="hybridMultilevel"/>
    <w:tmpl w:val="3DC038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EB20EC"/>
    <w:multiLevelType w:val="hybridMultilevel"/>
    <w:tmpl w:val="49B4FBD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F6190D"/>
    <w:multiLevelType w:val="hybridMultilevel"/>
    <w:tmpl w:val="6D62B22E"/>
    <w:lvl w:ilvl="0" w:tplc="4FA6EF68">
      <w:start w:val="1"/>
      <w:numFmt w:val="bullet"/>
      <w:lvlText w:val="─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006339"/>
    <w:multiLevelType w:val="hybridMultilevel"/>
    <w:tmpl w:val="321CBC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50DBA"/>
    <w:multiLevelType w:val="hybridMultilevel"/>
    <w:tmpl w:val="99FE2506"/>
    <w:lvl w:ilvl="0" w:tplc="E4AE83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23915"/>
    <w:multiLevelType w:val="hybridMultilevel"/>
    <w:tmpl w:val="352E7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D7599"/>
    <w:multiLevelType w:val="hybridMultilevel"/>
    <w:tmpl w:val="920EC10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5093D"/>
    <w:multiLevelType w:val="hybridMultilevel"/>
    <w:tmpl w:val="314C9E6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17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7E"/>
    <w:rsid w:val="00023846"/>
    <w:rsid w:val="00027E75"/>
    <w:rsid w:val="0008704E"/>
    <w:rsid w:val="000A180F"/>
    <w:rsid w:val="00153264"/>
    <w:rsid w:val="0017683C"/>
    <w:rsid w:val="00231BD1"/>
    <w:rsid w:val="0024397E"/>
    <w:rsid w:val="002C18A1"/>
    <w:rsid w:val="002E3B52"/>
    <w:rsid w:val="003179CD"/>
    <w:rsid w:val="003260E0"/>
    <w:rsid w:val="00377F1F"/>
    <w:rsid w:val="003C2641"/>
    <w:rsid w:val="00425CF8"/>
    <w:rsid w:val="004D4098"/>
    <w:rsid w:val="004E6325"/>
    <w:rsid w:val="00525E45"/>
    <w:rsid w:val="005343ED"/>
    <w:rsid w:val="005638F8"/>
    <w:rsid w:val="005924F9"/>
    <w:rsid w:val="005A6228"/>
    <w:rsid w:val="005C2955"/>
    <w:rsid w:val="00625E34"/>
    <w:rsid w:val="0062666C"/>
    <w:rsid w:val="00673EB8"/>
    <w:rsid w:val="006A4B50"/>
    <w:rsid w:val="0080474F"/>
    <w:rsid w:val="00813E65"/>
    <w:rsid w:val="0086163A"/>
    <w:rsid w:val="008876D7"/>
    <w:rsid w:val="009005DD"/>
    <w:rsid w:val="009D534F"/>
    <w:rsid w:val="00A4633F"/>
    <w:rsid w:val="00AD5749"/>
    <w:rsid w:val="00AE076D"/>
    <w:rsid w:val="00AF00DC"/>
    <w:rsid w:val="00B379FB"/>
    <w:rsid w:val="00B51893"/>
    <w:rsid w:val="00B65DAF"/>
    <w:rsid w:val="00BD407B"/>
    <w:rsid w:val="00C551EF"/>
    <w:rsid w:val="00C7002F"/>
    <w:rsid w:val="00C75B72"/>
    <w:rsid w:val="00D12905"/>
    <w:rsid w:val="00D252EC"/>
    <w:rsid w:val="00DC05A1"/>
    <w:rsid w:val="00E046FC"/>
    <w:rsid w:val="00E33564"/>
    <w:rsid w:val="00E4093D"/>
    <w:rsid w:val="00E60974"/>
    <w:rsid w:val="00E777CB"/>
    <w:rsid w:val="00ED7F01"/>
    <w:rsid w:val="00F041EE"/>
    <w:rsid w:val="00F04749"/>
    <w:rsid w:val="00F717BE"/>
    <w:rsid w:val="00FE319E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870DEA61-AA33-4253-AF4F-124FBB30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B5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1"/>
    <w:qFormat/>
    <w:rsid w:val="00A4633F"/>
    <w:pPr>
      <w:spacing w:after="240"/>
      <w:outlineLvl w:val="0"/>
    </w:pPr>
    <w:rPr>
      <w:rFonts w:asciiTheme="minorHAnsi" w:hAnsiTheme="minorHAnsi" w:cstheme="minorHAnsi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633F"/>
    <w:pPr>
      <w:outlineLvl w:val="1"/>
    </w:pPr>
    <w:rPr>
      <w:rFonts w:asciiTheme="minorHAnsi" w:hAnsiTheme="minorHAnsi" w:cstheme="minorHAnsi"/>
      <w:b/>
      <w:u w:val="single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A4633F"/>
    <w:pPr>
      <w:numPr>
        <w:numId w:val="10"/>
      </w:numPr>
      <w:spacing w:line="259" w:lineRule="auto"/>
      <w:ind w:left="357" w:hanging="357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24397E"/>
  </w:style>
  <w:style w:type="paragraph" w:styleId="Piedepgina">
    <w:name w:val="footer"/>
    <w:basedOn w:val="Normal"/>
    <w:link w:val="PiedepginaCar"/>
    <w:uiPriority w:val="99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7E"/>
  </w:style>
  <w:style w:type="table" w:styleId="Tablaconcuadrcula">
    <w:name w:val="Table Grid"/>
    <w:basedOn w:val="Tablanormal"/>
    <w:uiPriority w:val="39"/>
    <w:rsid w:val="0024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3B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B5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A4633F"/>
    <w:rPr>
      <w:rFonts w:eastAsia="Times New Roman" w:cstheme="minorHAnsi"/>
      <w:b/>
      <w:sz w:val="24"/>
      <w:szCs w:val="24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A4633F"/>
    <w:rPr>
      <w:rFonts w:eastAsia="Times New Roman" w:cstheme="minorHAnsi"/>
      <w:b/>
      <w:sz w:val="24"/>
      <w:szCs w:val="24"/>
      <w:u w:val="single"/>
      <w:lang w:eastAsia="zh-CN"/>
    </w:rPr>
  </w:style>
  <w:style w:type="paragraph" w:customStyle="1" w:styleId="Cuerpodetexto">
    <w:name w:val="Cuerpo de texto"/>
    <w:basedOn w:val="Normal"/>
    <w:rsid w:val="002E3B52"/>
    <w:pPr>
      <w:autoSpaceDE w:val="0"/>
    </w:pPr>
    <w:rPr>
      <w:rFonts w:ascii="Arial" w:hAnsi="Arial" w:cs="Arial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2E3B52"/>
    <w:pPr>
      <w:ind w:left="708"/>
    </w:pPr>
    <w:rPr>
      <w:sz w:val="20"/>
      <w:szCs w:val="20"/>
      <w:lang w:eastAsia="es-ES"/>
    </w:rPr>
  </w:style>
  <w:style w:type="paragraph" w:customStyle="1" w:styleId="Default">
    <w:name w:val="Default"/>
    <w:rsid w:val="002E3B52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B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B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A4633F"/>
    <w:rPr>
      <w:b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343ED"/>
    <w:pPr>
      <w:widowControl w:val="0"/>
      <w:autoSpaceDE w:val="0"/>
      <w:autoSpaceDN w:val="0"/>
      <w:adjustRightInd w:val="0"/>
      <w:spacing w:before="56" w:after="0"/>
      <w:ind w:left="1547" w:firstLine="396"/>
      <w:jc w:val="left"/>
    </w:pPr>
    <w:rPr>
      <w:rFonts w:ascii="Verdana" w:eastAsiaTheme="minorEastAsia" w:hAnsi="Verdana" w:cs="Verdana"/>
      <w:sz w:val="18"/>
      <w:szCs w:val="1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43ED"/>
    <w:rPr>
      <w:rFonts w:ascii="Verdana" w:eastAsiaTheme="minorEastAsia" w:hAnsi="Verdana" w:cs="Verdana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BA27-DC62-48A3-8201-B1FF886F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JPF</dc:creator>
  <cp:keywords/>
  <dc:description/>
  <cp:lastModifiedBy>GREMELS -, MONICA ERIKA</cp:lastModifiedBy>
  <cp:revision>10</cp:revision>
  <dcterms:created xsi:type="dcterms:W3CDTF">2023-10-18T14:01:00Z</dcterms:created>
  <dcterms:modified xsi:type="dcterms:W3CDTF">2024-03-04T14:28:00Z</dcterms:modified>
</cp:coreProperties>
</file>